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48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ff2f92"/>
          <w:sz w:val="42"/>
          <w:szCs w:val="42"/>
          <w:rtl w:val="0"/>
        </w:rPr>
      </w:pPr>
      <w:r>
        <w:rPr>
          <w:rFonts w:ascii="Trebuchet MS" w:hAnsi="Trebuchet MS"/>
          <w:b w:val="1"/>
          <w:bCs w:val="1"/>
          <w:color w:val="ff2f92"/>
          <w:sz w:val="42"/>
          <w:szCs w:val="42"/>
          <w:rtl w:val="0"/>
          <w:lang w:val="it-IT"/>
        </w:rPr>
        <w:t>ATTRAVERSIAMO LE CIVILTA</w:t>
      </w:r>
      <w:r>
        <w:rPr>
          <w:rFonts w:ascii="Trebuchet MS" w:hAnsi="Trebuchet MS" w:hint="default"/>
          <w:b w:val="1"/>
          <w:bCs w:val="1"/>
          <w:color w:val="ff2f92"/>
          <w:sz w:val="42"/>
          <w:szCs w:val="42"/>
          <w:rtl w:val="0"/>
          <w:lang w:val="it-IT"/>
        </w:rPr>
        <w:t xml:space="preserve">’ </w:t>
      </w:r>
      <w:r>
        <w:rPr>
          <w:rFonts w:ascii="Trebuchet MS" w:hAnsi="Trebuchet MS"/>
          <w:b w:val="1"/>
          <w:bCs w:val="1"/>
          <w:color w:val="ff2f92"/>
          <w:sz w:val="42"/>
          <w:szCs w:val="42"/>
          <w:rtl w:val="0"/>
          <w:lang w:val="it-IT"/>
        </w:rPr>
        <w:t>CON LA CAA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Questo progetto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stato creato su misura per la classe IV C della scuola primaria in continuazione con quello attuato lo scorso anno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rebuchet MS" w:hAnsi="Trebuchet MS"/>
          <w:sz w:val="32"/>
          <w:szCs w:val="32"/>
          <w:rtl w:val="0"/>
        </w:rPr>
        <w:t>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obiettivo del progetto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la partecipazione ed integrazione dell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alunno con disabilit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</w:rPr>
        <w:t>all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interno della classe e della scuola, attraverso la conoscenza di strategie e metodologie didattiche alternative. 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Si vuole arrivare gradualmente, attraverso i simboli, a raccontare esperienze di vita vissuta e a fornire uno strumento pratico per consentire al bambino di comunicare, decodificare i messaggi che quotidianamente gli arrivano e codificarli per farsi capire, affinch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é </w:t>
      </w:r>
      <w:r>
        <w:rPr>
          <w:rFonts w:ascii="Trebuchet MS" w:hAnsi="Trebuchet MS"/>
          <w:sz w:val="32"/>
          <w:szCs w:val="32"/>
          <w:rtl w:val="0"/>
          <w:lang w:val="it-IT"/>
        </w:rPr>
        <w:t>riesca a condividere il proprio vissuto personale per interagire con gli altri e a rinforzare 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autostima con la creazione di un prodotto di cui essere fieri ed orgogliosi. 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